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5C" w:rsidRPr="00F36150" w:rsidRDefault="00392D88">
      <w:pPr>
        <w:jc w:val="right"/>
        <w:rPr>
          <w:rFonts w:ascii="Arial" w:eastAsia="Arial" w:hAnsi="Arial" w:cs="Arial"/>
          <w:color w:val="363636"/>
          <w:sz w:val="22"/>
          <w:szCs w:val="22"/>
        </w:rPr>
      </w:pPr>
      <w:r w:rsidRPr="00F36150">
        <w:rPr>
          <w:rFonts w:ascii="Arial" w:eastAsia="Arial" w:hAnsi="Arial" w:cs="Arial"/>
          <w:noProof/>
          <w:color w:val="363636"/>
          <w:sz w:val="22"/>
          <w:szCs w:val="22"/>
        </w:rPr>
        <w:drawing>
          <wp:inline distT="0" distB="0" distL="0" distR="0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55C" w:rsidRPr="00F36150" w:rsidRDefault="00EF055C">
      <w:pPr>
        <w:rPr>
          <w:rFonts w:ascii="Arial" w:eastAsia="Arial" w:hAnsi="Arial" w:cs="Arial"/>
          <w:color w:val="363636"/>
          <w:sz w:val="22"/>
          <w:szCs w:val="22"/>
        </w:rPr>
      </w:pPr>
    </w:p>
    <w:p w:rsidR="00EF055C" w:rsidRPr="00F36150" w:rsidRDefault="00392D88">
      <w:pPr>
        <w:rPr>
          <w:rFonts w:ascii="Arial" w:eastAsia="Arial" w:hAnsi="Arial" w:cs="Arial"/>
          <w:b/>
          <w:color w:val="363636"/>
          <w:sz w:val="22"/>
          <w:szCs w:val="22"/>
          <w:u w:val="single"/>
        </w:rPr>
      </w:pPr>
      <w:r w:rsidRPr="00F36150">
        <w:rPr>
          <w:rFonts w:ascii="Arial" w:eastAsia="Arial" w:hAnsi="Arial" w:cs="Arial"/>
          <w:b/>
          <w:color w:val="363636"/>
          <w:sz w:val="22"/>
          <w:szCs w:val="22"/>
          <w:u w:val="single"/>
        </w:rPr>
        <w:t xml:space="preserve">E4S KS2 </w:t>
      </w:r>
      <w:r w:rsidR="00A644FA" w:rsidRPr="00F36150">
        <w:rPr>
          <w:rFonts w:ascii="Arial" w:eastAsia="Arial" w:hAnsi="Arial" w:cs="Arial"/>
          <w:b/>
          <w:color w:val="363636"/>
          <w:sz w:val="22"/>
          <w:szCs w:val="22"/>
          <w:u w:val="single"/>
        </w:rPr>
        <w:t>Body Changes and Puberty</w:t>
      </w:r>
      <w:r w:rsidRPr="00F36150">
        <w:rPr>
          <w:rFonts w:ascii="Arial" w:eastAsia="Arial" w:hAnsi="Arial" w:cs="Arial"/>
          <w:b/>
          <w:color w:val="363636"/>
          <w:sz w:val="22"/>
          <w:szCs w:val="22"/>
          <w:u w:val="single"/>
        </w:rPr>
        <w:t xml:space="preserve"> Parent Input </w:t>
      </w:r>
    </w:p>
    <w:p w:rsidR="00EF055C" w:rsidRPr="00F36150" w:rsidRDefault="00EF055C">
      <w:pPr>
        <w:rPr>
          <w:rFonts w:ascii="Arial" w:eastAsia="Arial" w:hAnsi="Arial" w:cs="Arial"/>
          <w:color w:val="363636"/>
          <w:sz w:val="22"/>
          <w:szCs w:val="22"/>
        </w:rPr>
      </w:pPr>
    </w:p>
    <w:p w:rsidR="00EF055C" w:rsidRPr="00F36150" w:rsidRDefault="00EF055C">
      <w:pPr>
        <w:rPr>
          <w:rFonts w:ascii="Arial" w:eastAsia="Arial" w:hAnsi="Arial" w:cs="Arial"/>
          <w:color w:val="363636"/>
          <w:sz w:val="22"/>
          <w:szCs w:val="22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 w:rsidRPr="00F36150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F36150" w:rsidRDefault="00392D8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Cornerstone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F36150" w:rsidRDefault="00392D8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color w:val="363636"/>
                <w:sz w:val="22"/>
                <w:szCs w:val="22"/>
              </w:rPr>
              <w:t>RSE</w:t>
            </w:r>
          </w:p>
        </w:tc>
      </w:tr>
      <w:tr w:rsidR="00EF055C" w:rsidRPr="00F36150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F36150" w:rsidRDefault="00392D8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Concept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F36150" w:rsidRDefault="00A644FA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F36150">
              <w:rPr>
                <w:rFonts w:ascii="Arial" w:hAnsi="Arial" w:cs="Arial"/>
                <w:sz w:val="22"/>
                <w:szCs w:val="22"/>
              </w:rPr>
              <w:t>Identity</w:t>
            </w:r>
          </w:p>
        </w:tc>
      </w:tr>
      <w:tr w:rsidR="00EF055C" w:rsidRPr="00F36150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F36150" w:rsidRDefault="00392D8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Theme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F36150" w:rsidRDefault="00A644FA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F36150">
              <w:rPr>
                <w:rFonts w:ascii="Arial" w:hAnsi="Arial" w:cs="Arial"/>
                <w:sz w:val="22"/>
                <w:szCs w:val="22"/>
              </w:rPr>
              <w:t>Body changes and pu</w:t>
            </w:r>
            <w:bookmarkStart w:id="0" w:name="_GoBack"/>
            <w:bookmarkEnd w:id="0"/>
            <w:r w:rsidRPr="00F36150">
              <w:rPr>
                <w:rFonts w:ascii="Arial" w:hAnsi="Arial" w:cs="Arial"/>
                <w:sz w:val="22"/>
                <w:szCs w:val="22"/>
              </w:rPr>
              <w:t>berty</w:t>
            </w:r>
          </w:p>
        </w:tc>
      </w:tr>
      <w:tr w:rsidR="00EF055C" w:rsidRPr="00F36150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F36150" w:rsidRDefault="009E2AE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Key Questions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F36150" w:rsidRDefault="00392D8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Teachers have used the questions and statements from the E4S</w:t>
            </w:r>
            <w:r w:rsidR="00637E68" w:rsidRPr="00F36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36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curriculum to plan lessons on</w:t>
            </w:r>
            <w:r w:rsidR="00637E68" w:rsidRPr="00F36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644FA" w:rsidRPr="00F36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body changes and puberty</w:t>
            </w:r>
            <w:r w:rsidRPr="00F36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which are delivered throughout the year according to the school’s scheme of work. </w:t>
            </w:r>
          </w:p>
          <w:p w:rsidR="007421B9" w:rsidRPr="00F36150" w:rsidRDefault="007421B9" w:rsidP="007421B9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F36150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This is what your child will be learning about in the upcoming scheme of work:</w:t>
            </w:r>
          </w:p>
          <w:p w:rsidR="007421B9" w:rsidRPr="00F36150" w:rsidRDefault="007421B9" w:rsidP="007421B9">
            <w:pPr>
              <w:pStyle w:val="ListParagrap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:rsidR="007421B9" w:rsidRPr="00F36150" w:rsidRDefault="007421B9" w:rsidP="007421B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F3615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How has my body changed since I was a baby? </w:t>
            </w:r>
          </w:p>
          <w:p w:rsidR="007421B9" w:rsidRPr="00F36150" w:rsidRDefault="007421B9" w:rsidP="007421B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F36150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kind of feelings come with puberty?</w:t>
            </w:r>
          </w:p>
          <w:p w:rsidR="007421B9" w:rsidRPr="00F36150" w:rsidRDefault="007421B9" w:rsidP="007421B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F36150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happens to people’s bodies when they grow up?</w:t>
            </w:r>
          </w:p>
          <w:p w:rsidR="007421B9" w:rsidRPr="00F36150" w:rsidRDefault="007421B9" w:rsidP="007421B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F36150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do we need to know about these changes and who can we talk to?</w:t>
            </w:r>
          </w:p>
          <w:p w:rsidR="007421B9" w:rsidRPr="00F36150" w:rsidRDefault="007421B9" w:rsidP="007421B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F36150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are the physical and emotional changes in puberty?</w:t>
            </w:r>
          </w:p>
          <w:p w:rsidR="00637E68" w:rsidRPr="00F36150" w:rsidRDefault="007421B9" w:rsidP="007421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F36150">
              <w:rPr>
                <w:rFonts w:ascii="Arial" w:eastAsia="Times New Roman" w:hAnsi="Arial" w:cs="Arial"/>
                <w:color w:val="000000" w:themeColor="text1"/>
                <w:lang w:eastAsia="en-GB"/>
              </w:rPr>
              <w:t>Is puberty the same for everyone?</w:t>
            </w:r>
          </w:p>
        </w:tc>
      </w:tr>
      <w:tr w:rsidR="00EF055C" w:rsidRPr="00F36150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F36150" w:rsidRDefault="00392D88" w:rsidP="009E2AE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Questions to</w:t>
            </w:r>
            <w:r w:rsidR="009E2AE8" w:rsidRPr="00F36150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 xml:space="preserve"> consider with</w:t>
            </w:r>
            <w:r w:rsidRPr="00F36150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 xml:space="preserve"> your child 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F36150" w:rsidRDefault="007421B9" w:rsidP="00F36150">
            <w:pPr>
              <w:widowControl w:val="0"/>
              <w:tabs>
                <w:tab w:val="left" w:pos="864"/>
                <w:tab w:val="left" w:pos="865"/>
              </w:tabs>
              <w:autoSpaceDE w:val="0"/>
              <w:autoSpaceDN w:val="0"/>
              <w:spacing w:before="1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Do</w:t>
            </w:r>
            <w:r w:rsidRPr="00F36150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you</w:t>
            </w:r>
            <w:r w:rsidRPr="00F36150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have</w:t>
            </w:r>
            <w:r w:rsidRPr="00F36150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feelings</w:t>
            </w:r>
            <w:r w:rsidRPr="00F36150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="00F36150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that feel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like</w:t>
            </w:r>
            <w:r w:rsidRPr="00F36150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F36150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rollercoaster?</w:t>
            </w:r>
          </w:p>
          <w:p w:rsidR="00F36150" w:rsidRDefault="007421B9" w:rsidP="00F36150">
            <w:pPr>
              <w:widowControl w:val="0"/>
              <w:tabs>
                <w:tab w:val="left" w:pos="864"/>
                <w:tab w:val="left" w:pos="865"/>
              </w:tabs>
              <w:autoSpaceDE w:val="0"/>
              <w:autoSpaceDN w:val="0"/>
              <w:spacing w:before="1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Can</w:t>
            </w:r>
            <w:r w:rsidRPr="00F36150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big</w:t>
            </w:r>
            <w:r w:rsidRPr="00F36150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feelings</w:t>
            </w:r>
            <w:r w:rsidRPr="00F36150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make</w:t>
            </w:r>
            <w:r w:rsidRPr="00F36150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you</w:t>
            </w:r>
            <w:r w:rsidRPr="00F36150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tired?</w:t>
            </w:r>
            <w:r w:rsid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BA4A6B" w:rsidRDefault="00BA4A6B" w:rsidP="00F36150">
            <w:pPr>
              <w:widowControl w:val="0"/>
              <w:tabs>
                <w:tab w:val="left" w:pos="864"/>
                <w:tab w:val="left" w:pos="865"/>
              </w:tabs>
              <w:autoSpaceDE w:val="0"/>
              <w:autoSpaceDN w:val="0"/>
              <w:spacing w:before="1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Who could you talk to or where could you find reliable information if you wanted to know more?</w:t>
            </w:r>
          </w:p>
          <w:p w:rsidR="00F36150" w:rsidRDefault="007421B9" w:rsidP="00F36150">
            <w:pPr>
              <w:widowControl w:val="0"/>
              <w:tabs>
                <w:tab w:val="left" w:pos="864"/>
                <w:tab w:val="left" w:pos="865"/>
              </w:tabs>
              <w:autoSpaceDE w:val="0"/>
              <w:autoSpaceDN w:val="0"/>
              <w:spacing w:before="1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Why</w:t>
            </w:r>
            <w:r w:rsidRPr="00F36150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is</w:t>
            </w:r>
            <w:r w:rsidRPr="00F36150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your</w:t>
            </w:r>
            <w:r w:rsidRPr="00F36150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body </w:t>
            </w:r>
            <w:r w:rsid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changing/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going</w:t>
            </w:r>
            <w:r w:rsidRPr="00F36150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Pr="00F36150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change?</w:t>
            </w:r>
          </w:p>
          <w:p w:rsidR="00F36150" w:rsidRDefault="007421B9" w:rsidP="00F36150">
            <w:pPr>
              <w:widowControl w:val="0"/>
              <w:tabs>
                <w:tab w:val="left" w:pos="864"/>
                <w:tab w:val="left" w:pos="865"/>
              </w:tabs>
              <w:autoSpaceDE w:val="0"/>
              <w:autoSpaceDN w:val="0"/>
              <w:spacing w:before="2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How</w:t>
            </w:r>
            <w:r w:rsidRPr="00F36150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is</w:t>
            </w:r>
            <w:r w:rsidRPr="00F36150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your</w:t>
            </w:r>
            <w:r w:rsidRPr="00F36150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body</w:t>
            </w:r>
            <w:r w:rsid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changing/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going</w:t>
            </w:r>
            <w:r w:rsidRPr="00F36150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Pr="00F36150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F36150">
              <w:rPr>
                <w:rFonts w:ascii="Arial" w:hAnsi="Arial" w:cs="Arial"/>
                <w:color w:val="000000" w:themeColor="text1"/>
                <w:sz w:val="22"/>
                <w:szCs w:val="22"/>
              </w:rPr>
              <w:t>change?</w:t>
            </w:r>
          </w:p>
          <w:p w:rsidR="00FA3C73" w:rsidRPr="00F36150" w:rsidRDefault="00F36150" w:rsidP="00F36150">
            <w:pPr>
              <w:widowControl w:val="0"/>
              <w:tabs>
                <w:tab w:val="left" w:pos="864"/>
                <w:tab w:val="left" w:pos="865"/>
              </w:tabs>
              <w:autoSpaceDE w:val="0"/>
              <w:autoSpaceDN w:val="0"/>
              <w:spacing w:before="2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 you know how puberty is different for different people?</w:t>
            </w:r>
          </w:p>
        </w:tc>
      </w:tr>
      <w:tr w:rsidR="00EF055C" w:rsidRPr="00F36150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F36150" w:rsidRDefault="00392D8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Resources for parents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27FC8" w:rsidRPr="00F36150" w:rsidRDefault="00E27FC8" w:rsidP="00E27FC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F36150">
              <w:rPr>
                <w:rFonts w:ascii="Arial" w:eastAsia="Arial" w:hAnsi="Arial" w:cs="Arial"/>
                <w:color w:val="363636"/>
                <w:sz w:val="22"/>
                <w:szCs w:val="22"/>
              </w:rPr>
              <w:t>Please find additi</w:t>
            </w:r>
            <w:r w:rsidR="00637E68" w:rsidRPr="00F36150">
              <w:rPr>
                <w:rFonts w:ascii="Arial" w:eastAsia="Arial" w:hAnsi="Arial" w:cs="Arial"/>
                <w:color w:val="363636"/>
                <w:sz w:val="22"/>
                <w:szCs w:val="22"/>
              </w:rPr>
              <w:t>onal support and guidance for parents below</w:t>
            </w:r>
          </w:p>
          <w:p w:rsidR="007421B9" w:rsidRPr="00F36150" w:rsidRDefault="007421B9" w:rsidP="00E27FC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</w:p>
          <w:p w:rsidR="007421B9" w:rsidRPr="00F36150" w:rsidRDefault="007421B9" w:rsidP="00E27FC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hyperlink r:id="rId7" w:history="1">
              <w:r w:rsidR="00F36150" w:rsidRPr="00F36150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NHS: 'Stages of Puberty'</w:t>
              </w:r>
            </w:hyperlink>
            <w:r w:rsidRPr="00F36150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 </w:t>
            </w:r>
          </w:p>
          <w:p w:rsidR="007421B9" w:rsidRPr="00F36150" w:rsidRDefault="007421B9" w:rsidP="00E27FC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hyperlink r:id="rId8" w:history="1">
              <w:proofErr w:type="spellStart"/>
              <w:r w:rsidR="00F36150" w:rsidRPr="00F36150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Mkchildrenshealth</w:t>
              </w:r>
              <w:proofErr w:type="spellEnd"/>
              <w:r w:rsidR="00F36150" w:rsidRPr="00F36150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: 'Puberty for parents'</w:t>
              </w:r>
            </w:hyperlink>
            <w:r w:rsidRPr="00F36150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 </w:t>
            </w:r>
          </w:p>
          <w:p w:rsidR="007421B9" w:rsidRPr="00F36150" w:rsidRDefault="007421B9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F36150" w:rsidRPr="00F36150">
                <w:rPr>
                  <w:rStyle w:val="Hyperlink"/>
                  <w:rFonts w:ascii="Arial" w:hAnsi="Arial" w:cs="Arial"/>
                  <w:sz w:val="22"/>
                  <w:szCs w:val="22"/>
                </w:rPr>
                <w:t>Feelings Book: 9-12 year olds</w:t>
              </w:r>
            </w:hyperlink>
          </w:p>
          <w:p w:rsidR="007421B9" w:rsidRPr="00F36150" w:rsidRDefault="007421B9" w:rsidP="00FA3C73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hyperlink r:id="rId10" w:history="1">
              <w:r w:rsidR="00F36150" w:rsidRPr="00F36150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Boys Body Book</w:t>
              </w:r>
            </w:hyperlink>
            <w:r w:rsidRPr="00F36150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 </w:t>
            </w:r>
          </w:p>
          <w:p w:rsidR="007421B9" w:rsidRPr="00F36150" w:rsidRDefault="007421B9" w:rsidP="00FA3C73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hyperlink r:id="rId11" w:history="1">
              <w:r w:rsidR="00F36150" w:rsidRPr="00F36150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Girls Body Book</w:t>
              </w:r>
            </w:hyperlink>
            <w:r w:rsidR="00F36150" w:rsidRPr="00F36150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 </w:t>
            </w:r>
          </w:p>
          <w:p w:rsidR="007421B9" w:rsidRPr="00F36150" w:rsidRDefault="007421B9" w:rsidP="00FA3C73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hyperlink r:id="rId12" w:history="1">
              <w:r w:rsidR="00F36150" w:rsidRPr="00F36150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NHS: 'Information on starting periods'</w:t>
              </w:r>
            </w:hyperlink>
            <w:r w:rsidRPr="00F36150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 </w:t>
            </w:r>
          </w:p>
        </w:tc>
      </w:tr>
    </w:tbl>
    <w:p w:rsidR="00EF055C" w:rsidRPr="00F36150" w:rsidRDefault="00EF055C">
      <w:pPr>
        <w:rPr>
          <w:rFonts w:ascii="Arial" w:eastAsia="Arial" w:hAnsi="Arial" w:cs="Arial"/>
          <w:color w:val="363636"/>
          <w:sz w:val="22"/>
          <w:szCs w:val="22"/>
        </w:rPr>
      </w:pPr>
    </w:p>
    <w:sectPr w:rsidR="00EF055C" w:rsidRPr="00F3615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3A1C"/>
    <w:multiLevelType w:val="hybridMultilevel"/>
    <w:tmpl w:val="0A0A8742"/>
    <w:lvl w:ilvl="0" w:tplc="9366182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en-GB" w:eastAsia="en-US" w:bidi="ar-SA"/>
      </w:rPr>
    </w:lvl>
    <w:lvl w:ilvl="1" w:tplc="A64C4D5C">
      <w:numFmt w:val="bullet"/>
      <w:lvlText w:val="•"/>
      <w:lvlJc w:val="left"/>
      <w:pPr>
        <w:ind w:left="1639" w:hanging="360"/>
      </w:pPr>
      <w:rPr>
        <w:rFonts w:hint="default"/>
        <w:lang w:val="en-GB" w:eastAsia="en-US" w:bidi="ar-SA"/>
      </w:rPr>
    </w:lvl>
    <w:lvl w:ilvl="2" w:tplc="258E35A2">
      <w:numFmt w:val="bullet"/>
      <w:lvlText w:val="•"/>
      <w:lvlJc w:val="left"/>
      <w:pPr>
        <w:ind w:left="2419" w:hanging="360"/>
      </w:pPr>
      <w:rPr>
        <w:rFonts w:hint="default"/>
        <w:lang w:val="en-GB" w:eastAsia="en-US" w:bidi="ar-SA"/>
      </w:rPr>
    </w:lvl>
    <w:lvl w:ilvl="3" w:tplc="D180BDBC">
      <w:numFmt w:val="bullet"/>
      <w:lvlText w:val="•"/>
      <w:lvlJc w:val="left"/>
      <w:pPr>
        <w:ind w:left="3199" w:hanging="360"/>
      </w:pPr>
      <w:rPr>
        <w:rFonts w:hint="default"/>
        <w:lang w:val="en-GB" w:eastAsia="en-US" w:bidi="ar-SA"/>
      </w:rPr>
    </w:lvl>
    <w:lvl w:ilvl="4" w:tplc="741EFFCE">
      <w:numFmt w:val="bullet"/>
      <w:lvlText w:val="•"/>
      <w:lvlJc w:val="left"/>
      <w:pPr>
        <w:ind w:left="3978" w:hanging="360"/>
      </w:pPr>
      <w:rPr>
        <w:rFonts w:hint="default"/>
        <w:lang w:val="en-GB" w:eastAsia="en-US" w:bidi="ar-SA"/>
      </w:rPr>
    </w:lvl>
    <w:lvl w:ilvl="5" w:tplc="47AC099E">
      <w:numFmt w:val="bullet"/>
      <w:lvlText w:val="•"/>
      <w:lvlJc w:val="left"/>
      <w:pPr>
        <w:ind w:left="4758" w:hanging="360"/>
      </w:pPr>
      <w:rPr>
        <w:rFonts w:hint="default"/>
        <w:lang w:val="en-GB" w:eastAsia="en-US" w:bidi="ar-SA"/>
      </w:rPr>
    </w:lvl>
    <w:lvl w:ilvl="6" w:tplc="46825EA4">
      <w:numFmt w:val="bullet"/>
      <w:lvlText w:val="•"/>
      <w:lvlJc w:val="left"/>
      <w:pPr>
        <w:ind w:left="5538" w:hanging="360"/>
      </w:pPr>
      <w:rPr>
        <w:rFonts w:hint="default"/>
        <w:lang w:val="en-GB" w:eastAsia="en-US" w:bidi="ar-SA"/>
      </w:rPr>
    </w:lvl>
    <w:lvl w:ilvl="7" w:tplc="50C4DBFA">
      <w:numFmt w:val="bullet"/>
      <w:lvlText w:val="•"/>
      <w:lvlJc w:val="left"/>
      <w:pPr>
        <w:ind w:left="6317" w:hanging="360"/>
      </w:pPr>
      <w:rPr>
        <w:rFonts w:hint="default"/>
        <w:lang w:val="en-GB" w:eastAsia="en-US" w:bidi="ar-SA"/>
      </w:rPr>
    </w:lvl>
    <w:lvl w:ilvl="8" w:tplc="C7163DA2">
      <w:numFmt w:val="bullet"/>
      <w:lvlText w:val="•"/>
      <w:lvlJc w:val="left"/>
      <w:pPr>
        <w:ind w:left="7097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4CD70BDC"/>
    <w:multiLevelType w:val="hybridMultilevel"/>
    <w:tmpl w:val="006EFCCA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13589"/>
    <w:multiLevelType w:val="hybridMultilevel"/>
    <w:tmpl w:val="10E0BF1A"/>
    <w:lvl w:ilvl="0" w:tplc="F0F229D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en-GB" w:eastAsia="en-US" w:bidi="ar-SA"/>
      </w:rPr>
    </w:lvl>
    <w:lvl w:ilvl="1" w:tplc="2BEE92B6">
      <w:numFmt w:val="bullet"/>
      <w:lvlText w:val="•"/>
      <w:lvlJc w:val="left"/>
      <w:pPr>
        <w:ind w:left="1639" w:hanging="360"/>
      </w:pPr>
      <w:rPr>
        <w:rFonts w:hint="default"/>
        <w:lang w:val="en-GB" w:eastAsia="en-US" w:bidi="ar-SA"/>
      </w:rPr>
    </w:lvl>
    <w:lvl w:ilvl="2" w:tplc="B60C8026">
      <w:numFmt w:val="bullet"/>
      <w:lvlText w:val="•"/>
      <w:lvlJc w:val="left"/>
      <w:pPr>
        <w:ind w:left="2419" w:hanging="360"/>
      </w:pPr>
      <w:rPr>
        <w:rFonts w:hint="default"/>
        <w:lang w:val="en-GB" w:eastAsia="en-US" w:bidi="ar-SA"/>
      </w:rPr>
    </w:lvl>
    <w:lvl w:ilvl="3" w:tplc="C16CF422">
      <w:numFmt w:val="bullet"/>
      <w:lvlText w:val="•"/>
      <w:lvlJc w:val="left"/>
      <w:pPr>
        <w:ind w:left="3199" w:hanging="360"/>
      </w:pPr>
      <w:rPr>
        <w:rFonts w:hint="default"/>
        <w:lang w:val="en-GB" w:eastAsia="en-US" w:bidi="ar-SA"/>
      </w:rPr>
    </w:lvl>
    <w:lvl w:ilvl="4" w:tplc="6D164B88">
      <w:numFmt w:val="bullet"/>
      <w:lvlText w:val="•"/>
      <w:lvlJc w:val="left"/>
      <w:pPr>
        <w:ind w:left="3978" w:hanging="360"/>
      </w:pPr>
      <w:rPr>
        <w:rFonts w:hint="default"/>
        <w:lang w:val="en-GB" w:eastAsia="en-US" w:bidi="ar-SA"/>
      </w:rPr>
    </w:lvl>
    <w:lvl w:ilvl="5" w:tplc="EF70288E">
      <w:numFmt w:val="bullet"/>
      <w:lvlText w:val="•"/>
      <w:lvlJc w:val="left"/>
      <w:pPr>
        <w:ind w:left="4758" w:hanging="360"/>
      </w:pPr>
      <w:rPr>
        <w:rFonts w:hint="default"/>
        <w:lang w:val="en-GB" w:eastAsia="en-US" w:bidi="ar-SA"/>
      </w:rPr>
    </w:lvl>
    <w:lvl w:ilvl="6" w:tplc="4992F6D0">
      <w:numFmt w:val="bullet"/>
      <w:lvlText w:val="•"/>
      <w:lvlJc w:val="left"/>
      <w:pPr>
        <w:ind w:left="5538" w:hanging="360"/>
      </w:pPr>
      <w:rPr>
        <w:rFonts w:hint="default"/>
        <w:lang w:val="en-GB" w:eastAsia="en-US" w:bidi="ar-SA"/>
      </w:rPr>
    </w:lvl>
    <w:lvl w:ilvl="7" w:tplc="516863AA">
      <w:numFmt w:val="bullet"/>
      <w:lvlText w:val="•"/>
      <w:lvlJc w:val="left"/>
      <w:pPr>
        <w:ind w:left="6317" w:hanging="360"/>
      </w:pPr>
      <w:rPr>
        <w:rFonts w:hint="default"/>
        <w:lang w:val="en-GB" w:eastAsia="en-US" w:bidi="ar-SA"/>
      </w:rPr>
    </w:lvl>
    <w:lvl w:ilvl="8" w:tplc="CA00E67E">
      <w:numFmt w:val="bullet"/>
      <w:lvlText w:val="•"/>
      <w:lvlJc w:val="left"/>
      <w:pPr>
        <w:ind w:left="7097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70AD662E"/>
    <w:multiLevelType w:val="hybridMultilevel"/>
    <w:tmpl w:val="A3AA4D1A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5C"/>
    <w:rsid w:val="00392D88"/>
    <w:rsid w:val="00475F37"/>
    <w:rsid w:val="004E5C11"/>
    <w:rsid w:val="00637E68"/>
    <w:rsid w:val="007421B9"/>
    <w:rsid w:val="009E2AE8"/>
    <w:rsid w:val="00A644FA"/>
    <w:rsid w:val="00BA4A6B"/>
    <w:rsid w:val="00D95703"/>
    <w:rsid w:val="00E27FC8"/>
    <w:rsid w:val="00EF055C"/>
    <w:rsid w:val="00F36150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12A4"/>
  <w15:docId w15:val="{3E5266B6-88B7-491C-B165-7F450C9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childrenshealth.cnwl.nhs.uk/parents-and-carers/health-and-wellbeing-zone/puber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hs.uk/live-well/sexual-health/stages-of-puberty-what-happens-to-boys-and-girls/" TargetMode="External"/><Relationship Id="rId12" Type="http://schemas.openxmlformats.org/officeDocument/2006/relationships/hyperlink" Target="https://www.nhs.uk/conditions/periods/starting-period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mazon.co.uk/Girls-Body-Book-Kelli-Dunham/dp/1604338334/ref=asc_df_1604338334/?tag=googshopuk-21&amp;linkCode=df0&amp;hvadid=311233467079&amp;hvpos=&amp;hvnetw=g&amp;hvrand=13221696870239099444&amp;hvpone=&amp;hvptwo=&amp;hvqmt=&amp;hvdev=c&amp;hvdvcmdl=&amp;hvlocint=&amp;hvlocphy=1006661&amp;hvtargid=pla-752129079545&amp;psc=1&amp;th=1&amp;psc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.uk/Boys-Body-Book-Kelli-Dunham/dp/1604338326/ref=asc_df_1604338326/?tag=googshopuk-21&amp;linkCode=df0&amp;hvadid=256158169866&amp;hvpos=&amp;hvnetw=g&amp;hvrand=16180242138136784843&amp;hvpone=&amp;hvptwo=&amp;hvqmt=&amp;hvdev=c&amp;hvdvcmdl=&amp;hvlocint=&amp;hvlocphy=1006661&amp;hvtargid=pla-645046214760&amp;psc=1&amp;th=1&amp;ps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Feelings-Book-Revised-Keeping-Emotions/dp/16095818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3</cp:revision>
  <dcterms:created xsi:type="dcterms:W3CDTF">2022-01-27T10:25:00Z</dcterms:created>
  <dcterms:modified xsi:type="dcterms:W3CDTF">2022-01-27T12:19:00Z</dcterms:modified>
</cp:coreProperties>
</file>